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01CB">
      <w:pPr>
        <w:pStyle w:val="ad"/>
        <w:spacing w:after="0" w:line="100" w:lineRule="atLeast"/>
        <w:jc w:val="center"/>
      </w:pPr>
      <w:bookmarkStart w:id="0" w:name="_GoBack"/>
      <w:bookmarkEnd w:id="0"/>
      <w:r>
        <w:rPr>
          <w:color w:val="000000"/>
        </w:rPr>
        <w:br/>
      </w:r>
      <w:r>
        <w:rPr>
          <w:b/>
          <w:bCs/>
          <w:i/>
          <w:iCs/>
          <w:color w:val="000000"/>
          <w:sz w:val="32"/>
          <w:szCs w:val="32"/>
        </w:rPr>
        <w:t>П</w:t>
      </w:r>
      <w:r>
        <w:rPr>
          <w:b/>
          <w:bCs/>
          <w:i/>
          <w:iCs/>
          <w:color w:val="000000"/>
          <w:sz w:val="32"/>
          <w:szCs w:val="32"/>
        </w:rPr>
        <w:t>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</w:t>
      </w:r>
    </w:p>
    <w:p w:rsidR="00000000" w:rsidRDefault="00A801CB">
      <w:pPr>
        <w:pStyle w:val="ad"/>
        <w:spacing w:after="0" w:line="100" w:lineRule="atLeast"/>
        <w:jc w:val="center"/>
      </w:pPr>
    </w:p>
    <w:p w:rsidR="00000000" w:rsidRDefault="00A801CB">
      <w:pPr>
        <w:pStyle w:val="ad"/>
        <w:spacing w:after="0" w:line="100" w:lineRule="atLeast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В соответствии с требованиями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Правил тех</w:t>
      </w:r>
      <w:r>
        <w:rPr>
          <w:color w:val="000000"/>
          <w:lang w:val="en-US"/>
        </w:rPr>
        <w:t xml:space="preserve">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</w:r>
      <w:r>
        <w:rPr>
          <w:color w:val="000000"/>
          <w:lang w:val="en-US"/>
        </w:rPr>
        <w:t>утвержденых Постановлением Правительства РФ от 27.12.2004 № 861 (далее-Правила):</w:t>
      </w:r>
    </w:p>
    <w:p w:rsidR="00000000" w:rsidRDefault="00A801CB">
      <w:pPr>
        <w:pStyle w:val="ad"/>
        <w:spacing w:after="0" w:line="100" w:lineRule="atLeast"/>
        <w:ind w:firstLine="709"/>
        <w:jc w:val="both"/>
      </w:pPr>
      <w:r>
        <w:rPr>
          <w:color w:val="000000"/>
          <w:lang w:val="en-US"/>
        </w:rPr>
        <w:t xml:space="preserve">1. </w:t>
      </w:r>
      <w:r>
        <w:rPr>
          <w:color w:val="000000"/>
          <w:lang w:val="en-US"/>
        </w:rPr>
        <w:t xml:space="preserve">Внесение платы заявителями, указанными в </w:t>
      </w:r>
      <w:r>
        <w:rPr>
          <w:color w:val="000000"/>
        </w:rPr>
        <w:t>пункте 12.1</w:t>
      </w:r>
      <w:r>
        <w:rPr>
          <w:color w:val="000000"/>
          <w:lang w:val="en-US"/>
        </w:rPr>
        <w:t xml:space="preserve">  Правил, за технологическое присоединение энергопринимающих устройств с максимальной мощностью свыше 15 и до 150 кВт вк</w:t>
      </w:r>
      <w:r>
        <w:rPr>
          <w:color w:val="000000"/>
          <w:lang w:val="en-US"/>
        </w:rPr>
        <w:t xml:space="preserve">лючительно (с учетом ранее присоединенных в данной точке присоединения энергопринимающих устройств), а также заявителями, указанными в </w:t>
      </w:r>
      <w:r>
        <w:rPr>
          <w:color w:val="000000"/>
        </w:rPr>
        <w:t>пункте 34</w:t>
      </w:r>
      <w:r>
        <w:rPr>
          <w:color w:val="000000"/>
          <w:lang w:val="en-US"/>
        </w:rPr>
        <w:t xml:space="preserve">  Правил, осуществляется в следующем порядке:</w:t>
      </w:r>
    </w:p>
    <w:p w:rsidR="00000000" w:rsidRDefault="00A801CB">
      <w:pPr>
        <w:pStyle w:val="ConsPlusNormal0"/>
        <w:ind w:firstLine="540"/>
        <w:jc w:val="both"/>
      </w:pPr>
      <w:r>
        <w:t xml:space="preserve">а) 15 процентов платы за технологическое присоединение вносятся в </w:t>
      </w:r>
      <w:r>
        <w:t>течение 15 дней с даты заключения договора;</w:t>
      </w:r>
    </w:p>
    <w:p w:rsidR="00000000" w:rsidRDefault="00A801CB">
      <w:pPr>
        <w:pStyle w:val="ConsPlusNormal0"/>
        <w:ind w:firstLine="540"/>
        <w:jc w:val="both"/>
      </w:pPr>
      <w:r>
        <w:t>б)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</w:r>
    </w:p>
    <w:p w:rsidR="00000000" w:rsidRDefault="00A801CB">
      <w:pPr>
        <w:pStyle w:val="ConsPlusNormal0"/>
        <w:ind w:firstLine="540"/>
        <w:jc w:val="both"/>
      </w:pPr>
      <w:r>
        <w:t>в) 45 процентов платы за технологическое присоединение вн</w:t>
      </w:r>
      <w:r>
        <w:t>осятся в течение 15 дней со дня фактического присоединения;</w:t>
      </w:r>
    </w:p>
    <w:p w:rsidR="00000000" w:rsidRDefault="00A801CB">
      <w:pPr>
        <w:pStyle w:val="ConsPlusNormal0"/>
        <w:ind w:firstLine="540"/>
        <w:jc w:val="both"/>
      </w:pPr>
      <w:r>
        <w:t>г)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00000" w:rsidRDefault="00A801CB">
      <w:pPr>
        <w:pStyle w:val="ConsPlusNormal0"/>
        <w:ind w:firstLine="709"/>
        <w:jc w:val="both"/>
      </w:pPr>
      <w:r>
        <w:t>2. Для заявителей, максимальная мощность э</w:t>
      </w:r>
      <w:r>
        <w:t>нергопринимающих устройств которых составляет менее 670 кВт, внесение платы за технологическое присоединение (за исключением случаев, урегулированных пунктом 16.2  Правил) осуществляется в следующем порядке:</w:t>
      </w:r>
    </w:p>
    <w:p w:rsidR="00000000" w:rsidRDefault="00A801CB">
      <w:pPr>
        <w:pStyle w:val="ConsPlusNormal0"/>
        <w:ind w:firstLine="540"/>
        <w:jc w:val="both"/>
      </w:pPr>
      <w:r>
        <w:t>а) 10 процентов платы за технологическое присоед</w:t>
      </w:r>
      <w:r>
        <w:t>инение вносятся в течение 15 дней со дня заключения договора;</w:t>
      </w:r>
    </w:p>
    <w:p w:rsidR="00000000" w:rsidRDefault="00A801CB">
      <w:pPr>
        <w:pStyle w:val="ConsPlusNormal0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договора;</w:t>
      </w:r>
    </w:p>
    <w:p w:rsidR="00000000" w:rsidRDefault="00A801CB">
      <w:pPr>
        <w:pStyle w:val="ConsPlusNormal0"/>
        <w:ind w:firstLine="540"/>
        <w:jc w:val="both"/>
      </w:pPr>
      <w:r>
        <w:t>в) 20 процентов платы за технологическое присоединение вносятся в течение 180 дней с</w:t>
      </w:r>
      <w:r>
        <w:t>о дня заключения договора;</w:t>
      </w:r>
    </w:p>
    <w:p w:rsidR="00000000" w:rsidRDefault="00A801CB">
      <w:pPr>
        <w:pStyle w:val="ConsPlusNormal0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000000" w:rsidRDefault="00A801CB">
      <w:pPr>
        <w:pStyle w:val="ConsPlusNormal0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об осущ</w:t>
      </w:r>
      <w:r>
        <w:t>ествлении технологического присоединения.</w:t>
      </w:r>
    </w:p>
    <w:p w:rsidR="00000000" w:rsidRDefault="00A801CB">
      <w:pPr>
        <w:pStyle w:val="ConsPlusNormal0"/>
        <w:numPr>
          <w:ilvl w:val="1"/>
          <w:numId w:val="2"/>
        </w:numPr>
        <w:ind w:left="0" w:firstLine="709"/>
        <w:jc w:val="both"/>
        <w:rPr>
          <w:color w:val="000000"/>
        </w:rPr>
      </w:pPr>
      <w:r>
        <w:t xml:space="preserve">В отношении указанных в пункте 12.1 </w:t>
      </w:r>
      <w:r>
        <w:t xml:space="preserve"> Правил заявителей,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</w:t>
      </w:r>
      <w:r>
        <w:t>нения энергопринимающих устройств), в договоре (по желанию таких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</w:t>
      </w:r>
      <w:r>
        <w:t>уммы рассрочки на период до 3 лет с даты подписания сторонами акта об осуществлении технологического присоединения.</w:t>
      </w:r>
    </w:p>
    <w:p w:rsidR="00000000" w:rsidRDefault="00A801CB">
      <w:pPr>
        <w:pStyle w:val="ConsPlusNormal0"/>
        <w:numPr>
          <w:ilvl w:val="1"/>
          <w:numId w:val="2"/>
        </w:numPr>
        <w:ind w:left="0" w:firstLine="709"/>
        <w:jc w:val="both"/>
      </w:pPr>
      <w:r>
        <w:rPr>
          <w:color w:val="000000"/>
        </w:rPr>
        <w:t>З</w:t>
      </w:r>
      <w:r>
        <w:rPr>
          <w:color w:val="000000"/>
          <w:lang w:val="en-US"/>
        </w:rPr>
        <w:t>аявителями, указанны</w:t>
      </w:r>
      <w:r>
        <w:rPr>
          <w:color w:val="000000"/>
        </w:rPr>
        <w:t>ми</w:t>
      </w:r>
      <w:r>
        <w:rPr>
          <w:color w:val="000000"/>
          <w:lang w:val="en-US"/>
        </w:rPr>
        <w:t xml:space="preserve"> в </w:t>
      </w:r>
      <w:r>
        <w:rPr>
          <w:color w:val="000000"/>
        </w:rPr>
        <w:t>пункте 12.1</w:t>
      </w:r>
      <w:r>
        <w:rPr>
          <w:color w:val="000000"/>
          <w:lang w:val="en-US"/>
        </w:rPr>
        <w:t xml:space="preserve">  Правил, за технологическое присоединение энергопринимающих устройств с максимальной мощностью до 15 к</w:t>
      </w:r>
      <w:r>
        <w:rPr>
          <w:color w:val="000000"/>
          <w:lang w:val="en-US"/>
        </w:rPr>
        <w:t xml:space="preserve">Вт включительно (с учетом ранее присоединенных в данной точке присоединения энергопринимающих устройств), а также заявителями, указанными в </w:t>
      </w:r>
      <w:r>
        <w:rPr>
          <w:color w:val="000000"/>
        </w:rPr>
        <w:t>пункте 13 и 14</w:t>
      </w:r>
      <w:r>
        <w:rPr>
          <w:color w:val="000000"/>
          <w:lang w:val="en-US"/>
        </w:rPr>
        <w:t xml:space="preserve">  Правил, </w:t>
      </w:r>
      <w:r>
        <w:rPr>
          <w:color w:val="000000"/>
        </w:rPr>
        <w:t>внесение платы осуществляется</w:t>
      </w:r>
      <w:r>
        <w:rPr>
          <w:color w:val="000000"/>
          <w:lang w:val="en-US"/>
        </w:rPr>
        <w:t xml:space="preserve"> в </w:t>
      </w:r>
      <w:r>
        <w:rPr>
          <w:color w:val="000000"/>
        </w:rPr>
        <w:t>течении 10 рабочих дней</w:t>
      </w:r>
    </w:p>
    <w:p w:rsidR="00000000" w:rsidRDefault="00A801CB">
      <w:pPr>
        <w:pStyle w:val="ConsPlusNormal0"/>
        <w:jc w:val="both"/>
      </w:pPr>
    </w:p>
    <w:p w:rsidR="00A801CB" w:rsidRDefault="00A801CB">
      <w:pPr>
        <w:pStyle w:val="ad"/>
        <w:spacing w:after="0" w:line="100" w:lineRule="atLeast"/>
        <w:jc w:val="both"/>
      </w:pPr>
    </w:p>
    <w:sectPr w:rsidR="00A801CB">
      <w:footerReference w:type="default" r:id="rId8"/>
      <w:pgSz w:w="11906" w:h="16838"/>
      <w:pgMar w:top="270" w:right="884" w:bottom="927" w:left="1095" w:header="720" w:footer="3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CB" w:rsidRDefault="00A801CB">
      <w:r>
        <w:separator/>
      </w:r>
    </w:p>
  </w:endnote>
  <w:endnote w:type="continuationSeparator" w:id="0">
    <w:p w:rsidR="00A801CB" w:rsidRDefault="00A8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01CB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CB" w:rsidRDefault="00A801CB">
      <w:r>
        <w:separator/>
      </w:r>
    </w:p>
  </w:footnote>
  <w:footnote w:type="continuationSeparator" w:id="0">
    <w:p w:rsidR="00A801CB" w:rsidRDefault="00A8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  <w:lang w:val="ru-RU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1C"/>
    <w:rsid w:val="009E521C"/>
    <w:rsid w:val="00A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2z1">
    <w:name w:val="WW8Num2z1"/>
    <w:rPr>
      <w:rFonts w:ascii="Courier New" w:hAnsi="Courier New" w:cs="Courier New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d"/>
  </w:style>
  <w:style w:type="paragraph" w:styleId="af3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4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2z1">
    <w:name w:val="WW8Num2z1"/>
    <w:rPr>
      <w:rFonts w:ascii="Courier New" w:hAnsi="Courier New" w:cs="Courier New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d"/>
  </w:style>
  <w:style w:type="paragraph" w:styleId="af3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4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Sekret2</dc:creator>
  <cp:lastModifiedBy>Eugen</cp:lastModifiedBy>
  <cp:revision>2</cp:revision>
  <cp:lastPrinted>2014-01-15T08:45:00Z</cp:lastPrinted>
  <dcterms:created xsi:type="dcterms:W3CDTF">2019-06-11T05:15:00Z</dcterms:created>
  <dcterms:modified xsi:type="dcterms:W3CDTF">2019-06-11T05:15:00Z</dcterms:modified>
</cp:coreProperties>
</file>